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542C3CDC"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fahren</w:t>
      </w:r>
      <w:r w:rsidR="00EA4FBB">
        <w:rPr>
          <w:b/>
          <w:sz w:val="28"/>
          <w:szCs w:val="28"/>
        </w:rPr>
        <w:t xml:space="preserve"> </w:t>
      </w:r>
      <w:hyperlink r:id="rId11" w:tooltip="10032254: Outdoor Sportgeräte - Ukraine" w:history="1">
        <w:r w:rsidR="00EA4FBB" w:rsidRPr="00EA4FBB">
          <w:rPr>
            <w:b/>
            <w:sz w:val="28"/>
            <w:szCs w:val="28"/>
          </w:rPr>
          <w:t>10032254: Outdoor Sportgeräte - Ukraine</w:t>
        </w:r>
      </w:hyperlink>
      <w:r w:rsidR="00EA4FBB">
        <w:rPr>
          <w:b/>
          <w:sz w:val="28"/>
          <w:szCs w:val="28"/>
        </w:rPr>
        <w:t xml:space="preserve"> </w:t>
      </w:r>
      <w:r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2"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57240482"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486294D6" w14:textId="5F05CB3A" w:rsidR="00EA4FBB" w:rsidRDefault="008E76A0" w:rsidP="00F45BF6">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21568557" w14:textId="730EA796" w:rsidR="00F45BF6" w:rsidRPr="00E55254" w:rsidRDefault="00F45BF6" w:rsidP="00F45BF6">
      <w:pPr>
        <w:jc w:val="both"/>
        <w:rPr>
          <w:rStyle w:val="Seitenzahl"/>
          <w:rFonts w:cs="Arial"/>
        </w:rPr>
      </w:pPr>
      <w:r w:rsidRPr="00E55254">
        <w:rPr>
          <w:rStyle w:val="Seitenzahl"/>
          <w:rFonts w:cs="Arial"/>
        </w:rPr>
        <w:t>100% Vorauszahlung</w:t>
      </w:r>
    </w:p>
    <w:p w14:paraId="0F460D09" w14:textId="77777777" w:rsidR="00F45BF6" w:rsidRPr="007C1782" w:rsidRDefault="00F45BF6" w:rsidP="00F45BF6">
      <w:pPr>
        <w:jc w:val="both"/>
        <w:rPr>
          <w:rStyle w:val="Seitenzahl"/>
          <w:rFonts w:cs="Arial"/>
        </w:rPr>
      </w:pPr>
    </w:p>
    <w:p w14:paraId="2B70383E" w14:textId="08CDB52F" w:rsidR="00C70B03" w:rsidRPr="00926A85" w:rsidRDefault="00C70B03" w:rsidP="00F075DD">
      <w:pPr>
        <w:jc w:val="both"/>
      </w:pPr>
      <w:r w:rsidRPr="00926A85">
        <w:t>Es wird eine</w:t>
      </w:r>
      <w:r w:rsidR="005C2EF8">
        <w:t xml:space="preserve"> </w:t>
      </w:r>
      <w:r w:rsidRPr="00926A85">
        <w:t>Vorauszahlung</w:t>
      </w:r>
      <w:r w:rsidR="005C2EF8">
        <w:t xml:space="preserve"> </w:t>
      </w:r>
      <w:r w:rsidRPr="00926A85">
        <w:t>über 100% des Auftragswertes gegen Vorlage einer</w:t>
      </w:r>
      <w:r w:rsidR="001C0C7D">
        <w:t xml:space="preserve"> </w:t>
      </w:r>
      <w:r w:rsidRPr="00926A85">
        <w:t>Vorauszahlungsgarantie</w:t>
      </w:r>
      <w:r w:rsidR="001C0C7D">
        <w:t xml:space="preserve"> </w:t>
      </w:r>
      <w:r w:rsidRPr="00926A85">
        <w:t>getätigt. Die Garantie</w:t>
      </w:r>
      <w:r w:rsidR="001C0C7D">
        <w:t xml:space="preserve"> </w:t>
      </w:r>
      <w:r w:rsidRPr="00926A85">
        <w:t>muss</w:t>
      </w:r>
      <w:r w:rsidR="001C0C7D">
        <w:t xml:space="preserve"> </w:t>
      </w:r>
      <w:r w:rsidRPr="00926A85">
        <w:t>dem</w:t>
      </w:r>
      <w:r w:rsidR="001C0C7D">
        <w:t xml:space="preserve"> </w:t>
      </w:r>
      <w:r w:rsidRPr="00926A85">
        <w:t>beiliegenden Muster entsprechen</w:t>
      </w:r>
      <w:r w:rsidR="001C0C7D">
        <w:t xml:space="preserve"> </w:t>
      </w:r>
      <w:r w:rsidRPr="00926A85">
        <w:t>und</w:t>
      </w:r>
      <w:r w:rsidR="001C0C7D">
        <w:t xml:space="preserve"> </w:t>
      </w:r>
      <w:r w:rsidRPr="00926A85">
        <w:t>auf</w:t>
      </w:r>
      <w:r w:rsidR="001C0C7D">
        <w:t xml:space="preserve"> </w:t>
      </w:r>
      <w:r w:rsidRPr="00926A85">
        <w:t>dem Briefpapier der Garantiebank in Schriftform (§ 126 BGB) vorgelegt werden. Nur erstklassige, international anerkannte</w:t>
      </w:r>
      <w:r w:rsidR="001A37C4">
        <w:t xml:space="preserve"> </w:t>
      </w:r>
      <w:r w:rsidRPr="00926A85">
        <w:t>Kreditinstitute können als Garantiebank akzeptiert werden.</w:t>
      </w:r>
      <w:r w:rsidR="001A37C4">
        <w:t xml:space="preserve"> </w:t>
      </w:r>
      <w:r w:rsidRPr="00926A85">
        <w:t>Dies sind</w:t>
      </w:r>
      <w:r w:rsidR="001A37C4">
        <w:t xml:space="preserve"> </w:t>
      </w:r>
      <w:r w:rsidRPr="00926A85">
        <w:t>Banken,</w:t>
      </w:r>
      <w:r w:rsidR="001A37C4">
        <w:t xml:space="preserve"> </w:t>
      </w:r>
      <w:r w:rsidRPr="00926A85">
        <w:t>die</w:t>
      </w:r>
      <w:r w:rsidR="001A37C4">
        <w:t xml:space="preserve"> </w:t>
      </w:r>
      <w:r w:rsidRPr="00926A85">
        <w:t>über einen</w:t>
      </w:r>
      <w:r w:rsidR="001A37C4">
        <w:t xml:space="preserve"> </w:t>
      </w:r>
      <w:r w:rsidRPr="00926A85">
        <w:t>Investment Grade verfügen, d.h.</w:t>
      </w:r>
      <w:r w:rsidR="00925714">
        <w:t xml:space="preserve"> </w:t>
      </w:r>
      <w:r w:rsidRPr="00926A85">
        <w:t>von einer unabhängigen, international anerkannten Rating-Agentur mindestens mit einem Rating</w:t>
      </w:r>
      <w:r w:rsidR="00925714">
        <w:t xml:space="preserve"> </w:t>
      </w:r>
      <w:r w:rsidRPr="00926A85">
        <w:t>von BBB- (Baa3)</w:t>
      </w:r>
      <w:r w:rsidR="00925714">
        <w:t xml:space="preserve"> </w:t>
      </w:r>
      <w:r w:rsidRPr="00926A85">
        <w:t>bewertet</w:t>
      </w:r>
      <w:r w:rsidR="00925714">
        <w:t xml:space="preserve"> </w:t>
      </w:r>
      <w:r w:rsidRPr="00926A85">
        <w:t>sind.</w:t>
      </w:r>
      <w:r w:rsidR="00925714">
        <w:t xml:space="preserve"> </w:t>
      </w:r>
      <w:r w:rsidRPr="00926A85">
        <w:t>Seitens ausländischer Banken ohne Rating kann eine indirekte Garantie einer deutschen Bank, welche die vorgenannten Kriterien erfüllt, eingereicht werden.</w:t>
      </w:r>
    </w:p>
    <w:p w14:paraId="0B2A7759" w14:textId="77777777" w:rsidR="00C70B03" w:rsidRPr="00926A85" w:rsidRDefault="00C70B03" w:rsidP="00F075DD">
      <w:pPr>
        <w:jc w:val="both"/>
      </w:pPr>
    </w:p>
    <w:p w14:paraId="7731361E" w14:textId="77777777" w:rsidR="00C70B03" w:rsidRPr="00926A85" w:rsidRDefault="00C70B03" w:rsidP="00F075DD">
      <w:pPr>
        <w:jc w:val="both"/>
      </w:pPr>
      <w:r w:rsidRPr="00926A85">
        <w:t xml:space="preserve">Die Auftraggeberin behält sich das Recht vor, vom Vertrag zurückzutreten, wenn ihr nicht innerhalb von zehn [10] Tagen nach Zuschlagserteilung, entweder eine den o.g. Voraussetzungen entsprechende Vorauszahlungsgarantie per Fax oder als Originalurkunde zugeht oder die Information seitens Ihrer Hausbank, dass über das SWIFT-System eine den o.g. Voraussetzungen entsprechende Garantie für Sie eingegangen ist. </w:t>
      </w:r>
    </w:p>
    <w:p w14:paraId="35F62438" w14:textId="77777777" w:rsidR="00C70B03" w:rsidRPr="00926A85" w:rsidRDefault="00C70B03" w:rsidP="00C70B03"/>
    <w:p w14:paraId="3ED853FB" w14:textId="77777777" w:rsidR="00C70B03" w:rsidRDefault="00C70B03" w:rsidP="00F075DD">
      <w:pPr>
        <w:jc w:val="both"/>
      </w:pPr>
      <w:r w:rsidRPr="00926A85">
        <w:t>Die Auftraggeberin behält sich weiterhin das Recht vor, vom Vertrag zurückzutreten, sofern ihr die Originalurkunde nicht innerhalb von fünf [5] Tagen nach Zugang des Faxes oder der Information seitens Ihrer Hausbank zugeht.“</w:t>
      </w:r>
    </w:p>
    <w:p w14:paraId="0C1AA3A5" w14:textId="77777777" w:rsidR="00C70B03" w:rsidRDefault="00C70B03" w:rsidP="00F075DD">
      <w:pPr>
        <w:jc w:val="both"/>
      </w:pPr>
    </w:p>
    <w:p w14:paraId="7504B426" w14:textId="77777777" w:rsidR="00C70B03" w:rsidRPr="00926A85" w:rsidRDefault="00C70B03" w:rsidP="00F075DD">
      <w:pPr>
        <w:jc w:val="both"/>
      </w:pPr>
      <w:r>
        <w:t xml:space="preserve">Die Vorauszahlungsrechnung ist als solche zu bezeichnen und an </w:t>
      </w:r>
      <w:hyperlink r:id="rId13">
        <w:r w:rsidRPr="00926A85">
          <w:rPr>
            <w:rStyle w:val="Hyperlink"/>
          </w:rPr>
          <w:t>fin.processing.DE@giz.de</w:t>
        </w:r>
      </w:hyperlink>
      <w:r>
        <w:t xml:space="preserve"> zu senden. </w:t>
      </w:r>
    </w:p>
    <w:p w14:paraId="308479D4" w14:textId="77777777" w:rsidR="00F45BF6" w:rsidRPr="007C1782" w:rsidRDefault="00F45BF6" w:rsidP="00F45BF6">
      <w:pPr>
        <w:autoSpaceDE w:val="0"/>
        <w:autoSpaceDN w:val="0"/>
        <w:adjustRightInd w:val="0"/>
        <w:jc w:val="both"/>
        <w:rPr>
          <w:rFonts w:cs="Arial"/>
        </w:rPr>
      </w:pPr>
    </w:p>
    <w:p w14:paraId="6542817F" w14:textId="7DBCC2C7" w:rsidR="00F45BF6" w:rsidRPr="007C1782" w:rsidRDefault="00F45BF6" w:rsidP="00F45BF6">
      <w:pPr>
        <w:jc w:val="both"/>
        <w:rPr>
          <w:rFonts w:cs="Arial"/>
        </w:rPr>
      </w:pPr>
      <w:r w:rsidRPr="007C1782">
        <w:t>In Ausnahmefällen kann die Auftraggeberin auf Grundlage interner Bonitäts- und Zuverlässigkeitskriterien von dem Erfordernis einer Bankgarantie absehen, insbesondere, jedoch nicht ausschließlich, wenn die Vorauszahlungsbetrag unter 200.000 EUR (ohne Mehrwertsteuer) und der Bonitätsindex des Auftragnehme</w:t>
      </w:r>
      <w:r w:rsidR="004C2691">
        <w:t>nden</w:t>
      </w:r>
      <w:r w:rsidRPr="007C1782">
        <w:t xml:space="preserve"> bei max. 300 (gemäß Creditreform-Auskunft) liegt. Ein Anspruch des Auftragnehm</w:t>
      </w:r>
      <w:r w:rsidR="004C2691">
        <w:t>enden</w:t>
      </w:r>
      <w:r w:rsidRPr="007C1782">
        <w:t xml:space="preserve"> auf einen solchen Verzicht besteht nicht.</w:t>
      </w:r>
    </w:p>
    <w:p w14:paraId="794770EA" w14:textId="77777777" w:rsidR="00CF315E" w:rsidRDefault="00CF315E" w:rsidP="2774755A">
      <w:pPr>
        <w:jc w:val="both"/>
        <w:rPr>
          <w:rStyle w:val="Seitenzahl"/>
          <w:rFonts w:cs="Arial"/>
        </w:rPr>
      </w:pPr>
    </w:p>
    <w:p w14:paraId="2DFFA1CB" w14:textId="77777777" w:rsidR="00F075DD" w:rsidRPr="008F1FB0" w:rsidRDefault="00F075DD" w:rsidP="2774755A">
      <w:pPr>
        <w:jc w:val="both"/>
        <w:rPr>
          <w:rStyle w:val="Seitenzahl"/>
          <w:rFonts w:cs="Arial"/>
        </w:rPr>
      </w:pPr>
    </w:p>
    <w:p w14:paraId="797E12A9" w14:textId="4D894647" w:rsidR="00A374C7" w:rsidRPr="00EA4FBB"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4"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lastRenderedPageBreak/>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5"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56EE5C5" w14:textId="77777777" w:rsidR="00EA4FBB" w:rsidRDefault="00EA4FBB" w:rsidP="00EA4FBB">
      <w:pPr>
        <w:jc w:val="both"/>
        <w:rPr>
          <w:rFonts w:cs="Arial"/>
        </w:rPr>
      </w:pPr>
      <w:r>
        <w:rPr>
          <w:rFonts w:cs="Arial"/>
        </w:rPr>
        <w:t>DDP verschiedene deutsche Kommunen</w:t>
      </w:r>
    </w:p>
    <w:p w14:paraId="6A71B21F" w14:textId="77777777" w:rsidR="00EA4FBB" w:rsidRPr="008F1FB0" w:rsidRDefault="00EA4FBB" w:rsidP="00EA4FBB">
      <w:pPr>
        <w:jc w:val="both"/>
        <w:rPr>
          <w:rFonts w:cs="Arial"/>
        </w:rPr>
      </w:pPr>
      <w:r>
        <w:rPr>
          <w:rFonts w:eastAsia="Times New Roman"/>
        </w:rPr>
        <w:t>Die genauen Entladeadressen werden dem beauftragten Lieferanten nach der Beauftragung übermittelt.</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7750BAA4" w:rsidR="00A643F3" w:rsidRPr="008F1FB0" w:rsidRDefault="00EA4FBB" w:rsidP="00E31450">
      <w:pPr>
        <w:jc w:val="both"/>
        <w:rPr>
          <w:rFonts w:cs="Arial"/>
        </w:rPr>
      </w:pPr>
      <w:r>
        <w:rPr>
          <w:rFonts w:cs="Arial"/>
        </w:rPr>
        <w:t>Deutschland</w:t>
      </w:r>
    </w:p>
    <w:p w14:paraId="5544BB44" w14:textId="46933032" w:rsidR="00465F3D" w:rsidRPr="008F1FB0" w:rsidRDefault="00465F3D" w:rsidP="00E31450">
      <w:pPr>
        <w:jc w:val="both"/>
        <w:rPr>
          <w:rFonts w:cs="Arial"/>
        </w:rPr>
      </w:pPr>
    </w:p>
    <w:p w14:paraId="48D0FF3D" w14:textId="77777777" w:rsidR="005779F5" w:rsidRPr="00B71F90" w:rsidRDefault="005779F5" w:rsidP="00E31450">
      <w:pPr>
        <w:jc w:val="both"/>
        <w:rPr>
          <w:rFonts w:cs="Arial"/>
          <w:bCs/>
        </w:rPr>
      </w:pPr>
    </w:p>
    <w:p w14:paraId="6CC089B3" w14:textId="6F151CC0"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17FCDB07" w:rsidR="00A643F3" w:rsidRPr="008F1FB0" w:rsidRDefault="001346DA" w:rsidP="00E31450">
      <w:pPr>
        <w:jc w:val="both"/>
        <w:rPr>
          <w:rFonts w:cs="Arial"/>
        </w:rPr>
      </w:pPr>
      <w:r w:rsidRPr="008F1FB0">
        <w:rPr>
          <w:rFonts w:cs="Arial"/>
        </w:rPr>
        <w:t>Bitte nennen Sie Ihren schnellstmöglichen Liefertermin.</w:t>
      </w:r>
    </w:p>
    <w:p w14:paraId="68046C5C" w14:textId="0E6978D8" w:rsidR="4CE3B6E6" w:rsidRPr="008F1FB0" w:rsidRDefault="4CE3B6E6" w:rsidP="4CE3B6E6">
      <w:pPr>
        <w:jc w:val="both"/>
        <w:rPr>
          <w:rFonts w:cs="Arial"/>
        </w:rPr>
      </w:pPr>
    </w:p>
    <w:p w14:paraId="213DE0F7" w14:textId="77777777" w:rsidR="00465F3D" w:rsidRPr="008F1FB0" w:rsidRDefault="00465F3D" w:rsidP="00E31450">
      <w:pPr>
        <w:jc w:val="both"/>
        <w:rPr>
          <w:rFonts w:cs="Arial"/>
        </w:rPr>
      </w:pPr>
    </w:p>
    <w:p w14:paraId="49CC69AE" w14:textId="5A6B56F6" w:rsidR="001346DA" w:rsidRDefault="00A643F3" w:rsidP="00E31450">
      <w:pPr>
        <w:jc w:val="both"/>
        <w:rPr>
          <w:rFonts w:cs="Arial"/>
        </w:rPr>
      </w:pPr>
      <w:r w:rsidRPr="008F1FB0">
        <w:rPr>
          <w:rFonts w:cs="Arial"/>
          <w:b/>
        </w:rPr>
        <w:t>Verpackung:</w:t>
      </w:r>
      <w:r w:rsidRPr="008F1FB0">
        <w:rPr>
          <w:rFonts w:cs="Arial"/>
        </w:rPr>
        <w:t xml:space="preserve"> </w:t>
      </w:r>
    </w:p>
    <w:p w14:paraId="368C8DC2" w14:textId="5387736C" w:rsidR="00EA4FBB" w:rsidRPr="00EA4FBB" w:rsidRDefault="00EA4FBB" w:rsidP="00E31450">
      <w:pPr>
        <w:jc w:val="both"/>
        <w:rPr>
          <w:rFonts w:cs="Arial"/>
          <w:bCs/>
        </w:rPr>
      </w:pPr>
      <w:r>
        <w:rPr>
          <w:rFonts w:cs="Arial"/>
        </w:rPr>
        <w:t>LKW-Fracht</w:t>
      </w:r>
      <w:r w:rsidRPr="00E31450">
        <w:rPr>
          <w:rFonts w:cs="Arial"/>
        </w:rPr>
        <w:t>gerecht verpackt gem</w:t>
      </w:r>
      <w:r>
        <w:rPr>
          <w:rFonts w:cs="Arial"/>
        </w:rPr>
        <w:t>äß</w:t>
      </w:r>
      <w:r w:rsidRPr="00E31450">
        <w:rPr>
          <w:rFonts w:cs="Arial"/>
        </w:rPr>
        <w:t xml:space="preserve"> </w:t>
      </w:r>
      <w:r>
        <w:rPr>
          <w:rFonts w:cs="Arial"/>
        </w:rPr>
        <w:t>den</w:t>
      </w:r>
      <w:r w:rsidRPr="00E31450">
        <w:rPr>
          <w:rFonts w:cs="Arial"/>
        </w:rPr>
        <w:t xml:space="preserve"> Allgemeinen Einkaufsbedingungen </w:t>
      </w:r>
      <w:r w:rsidRPr="00E31450">
        <w:rPr>
          <w:rFonts w:cs="Arial"/>
          <w:bCs/>
        </w:rPr>
        <w:t xml:space="preserve">(AEB) </w:t>
      </w:r>
      <w:r>
        <w:rPr>
          <w:rFonts w:cs="Arial"/>
          <w:bCs/>
        </w:rPr>
        <w:t>der Auftraggeberin.</w:t>
      </w:r>
    </w:p>
    <w:p w14:paraId="7C20397E" w14:textId="77777777" w:rsidR="00EA4FBB" w:rsidRDefault="00EA4FBB" w:rsidP="00E31450">
      <w:pPr>
        <w:jc w:val="both"/>
        <w:rPr>
          <w:rFonts w:cs="Arial"/>
        </w:rPr>
      </w:pPr>
    </w:p>
    <w:p w14:paraId="7695C22F" w14:textId="1240A3C5" w:rsidR="00EA4FBB" w:rsidRDefault="00EA4FBB" w:rsidP="00EA4FBB">
      <w:pPr>
        <w:rPr>
          <w:rFonts w:cs="Arial"/>
        </w:rPr>
      </w:pPr>
      <w:r>
        <w:rPr>
          <w:rFonts w:cs="Arial"/>
        </w:rPr>
        <w:t>Los 1:</w:t>
      </w:r>
    </w:p>
    <w:p w14:paraId="66AA898A" w14:textId="6C9E6950" w:rsidR="00EA4FBB" w:rsidRPr="008F1FB0" w:rsidRDefault="00EA4FBB" w:rsidP="00EA4FBB">
      <w:pPr>
        <w:rPr>
          <w:rFonts w:cs="Arial"/>
        </w:rPr>
      </w:pPr>
      <w:r w:rsidRPr="00350E15">
        <w:rPr>
          <w:rFonts w:cs="Arial"/>
        </w:rPr>
        <w:t xml:space="preserve">Die Mengen des Loses </w:t>
      </w:r>
      <w:r>
        <w:rPr>
          <w:rFonts w:cs="Arial"/>
        </w:rPr>
        <w:t>1</w:t>
      </w:r>
      <w:r w:rsidRPr="00350E15">
        <w:rPr>
          <w:rFonts w:cs="Arial"/>
        </w:rPr>
        <w:t xml:space="preserve"> entsprechen demzufolge </w:t>
      </w:r>
      <w:r>
        <w:rPr>
          <w:rFonts w:cs="Arial"/>
        </w:rPr>
        <w:t xml:space="preserve">drei (3) </w:t>
      </w:r>
      <w:proofErr w:type="spellStart"/>
      <w:r>
        <w:rPr>
          <w:rFonts w:cs="Arial"/>
        </w:rPr>
        <w:t>Calisthenicsanlagenpaketen</w:t>
      </w:r>
      <w:proofErr w:type="spellEnd"/>
      <w:r w:rsidRPr="00350E15">
        <w:rPr>
          <w:rFonts w:cs="Arial"/>
        </w:rPr>
        <w:t xml:space="preserve">, welche sich an verschiedenen Standorten befinden. D.h. die Verpackungen (inkl. der Versanddokumente) müssen so vorbereitet werden, dass </w:t>
      </w:r>
      <w:r>
        <w:rPr>
          <w:rFonts w:cs="Arial"/>
        </w:rPr>
        <w:t xml:space="preserve">drei </w:t>
      </w:r>
      <w:r w:rsidRPr="00350E15">
        <w:rPr>
          <w:rFonts w:cs="Arial"/>
        </w:rPr>
        <w:t>unterschiedliche Standorte beliefert werden können.</w:t>
      </w:r>
    </w:p>
    <w:p w14:paraId="1DB3B50A" w14:textId="53F6C7D7" w:rsidR="00EA4FBB" w:rsidRDefault="00EA4FBB" w:rsidP="00EA4FBB">
      <w:pPr>
        <w:jc w:val="both"/>
        <w:rPr>
          <w:rStyle w:val="Seitenzahl"/>
          <w:rFonts w:cs="Arial"/>
        </w:rPr>
      </w:pPr>
      <w:r>
        <w:rPr>
          <w:rStyle w:val="Seitenzahl"/>
          <w:rFonts w:cs="Arial"/>
        </w:rPr>
        <w:t>Los 2:</w:t>
      </w:r>
    </w:p>
    <w:p w14:paraId="12350BA4" w14:textId="2A06038A" w:rsidR="00EA4FBB" w:rsidRPr="00F05DCE" w:rsidRDefault="00EA4FBB" w:rsidP="00EA4FBB">
      <w:pPr>
        <w:pStyle w:val="Default"/>
        <w:rPr>
          <w:rFonts w:eastAsiaTheme="minorHAnsi"/>
          <w:color w:val="auto"/>
          <w:sz w:val="22"/>
          <w:szCs w:val="22"/>
          <w:lang w:eastAsia="en-US"/>
        </w:rPr>
      </w:pPr>
      <w:r w:rsidRPr="00F05DCE">
        <w:rPr>
          <w:rFonts w:eastAsiaTheme="minorHAnsi"/>
          <w:color w:val="auto"/>
          <w:sz w:val="22"/>
          <w:szCs w:val="22"/>
          <w:lang w:eastAsia="en-US"/>
        </w:rPr>
        <w:t xml:space="preserve">Die Mengen des Loses </w:t>
      </w:r>
      <w:r>
        <w:rPr>
          <w:rFonts w:eastAsiaTheme="minorHAnsi"/>
          <w:color w:val="auto"/>
          <w:sz w:val="22"/>
          <w:szCs w:val="22"/>
          <w:lang w:eastAsia="en-US"/>
        </w:rPr>
        <w:t>2</w:t>
      </w:r>
      <w:r w:rsidRPr="00F05DCE">
        <w:rPr>
          <w:rFonts w:eastAsiaTheme="minorHAnsi"/>
          <w:color w:val="auto"/>
          <w:sz w:val="22"/>
          <w:szCs w:val="22"/>
          <w:lang w:eastAsia="en-US"/>
        </w:rPr>
        <w:t xml:space="preserve"> entsprechen demzufolge </w:t>
      </w:r>
      <w:r>
        <w:rPr>
          <w:rFonts w:eastAsiaTheme="minorHAnsi"/>
          <w:color w:val="auto"/>
          <w:sz w:val="22"/>
          <w:szCs w:val="22"/>
          <w:lang w:eastAsia="en-US"/>
        </w:rPr>
        <w:t>drei (3)</w:t>
      </w:r>
      <w:r w:rsidRPr="00F05DCE">
        <w:rPr>
          <w:rFonts w:eastAsiaTheme="minorHAnsi"/>
          <w:color w:val="auto"/>
          <w:sz w:val="22"/>
          <w:szCs w:val="22"/>
          <w:lang w:eastAsia="en-US"/>
        </w:rPr>
        <w:t xml:space="preserve"> </w:t>
      </w:r>
      <w:r>
        <w:rPr>
          <w:rFonts w:eastAsiaTheme="minorHAnsi"/>
          <w:color w:val="auto"/>
          <w:sz w:val="22"/>
          <w:szCs w:val="22"/>
          <w:lang w:eastAsia="en-US"/>
        </w:rPr>
        <w:t>Multisportanlagen</w:t>
      </w:r>
      <w:r w:rsidRPr="00F05DCE">
        <w:rPr>
          <w:rFonts w:eastAsiaTheme="minorHAnsi"/>
          <w:color w:val="auto"/>
          <w:sz w:val="22"/>
          <w:szCs w:val="22"/>
          <w:lang w:eastAsia="en-US"/>
        </w:rPr>
        <w:t xml:space="preserve">, welche sich an verschiedenen Standorten befinden. D.h. die Verpackungen (inkl. der Versanddokumente) müssen so vorbereitet werden, dass </w:t>
      </w:r>
      <w:r>
        <w:rPr>
          <w:rFonts w:eastAsiaTheme="minorHAnsi"/>
          <w:color w:val="auto"/>
          <w:sz w:val="22"/>
          <w:szCs w:val="22"/>
          <w:lang w:eastAsia="en-US"/>
        </w:rPr>
        <w:t>drei</w:t>
      </w:r>
      <w:r w:rsidRPr="00F05DCE">
        <w:rPr>
          <w:rFonts w:eastAsiaTheme="minorHAnsi"/>
          <w:color w:val="auto"/>
          <w:sz w:val="22"/>
          <w:szCs w:val="22"/>
          <w:lang w:eastAsia="en-US"/>
        </w:rPr>
        <w:t xml:space="preserve"> unterschiedliche Standorte beliefert werden können.</w:t>
      </w:r>
    </w:p>
    <w:p w14:paraId="180C3F3D" w14:textId="42FCD37D" w:rsidR="00EA4FBB" w:rsidRDefault="00EA4FBB" w:rsidP="00EA4FBB">
      <w:pPr>
        <w:rPr>
          <w:rFonts w:cs="Arial"/>
        </w:rPr>
      </w:pPr>
      <w:r>
        <w:rPr>
          <w:rFonts w:cs="Arial"/>
        </w:rPr>
        <w:t>Los 3:</w:t>
      </w:r>
    </w:p>
    <w:p w14:paraId="28E2C487" w14:textId="16AE8622" w:rsidR="00EA4FBB" w:rsidRDefault="00EA4FBB" w:rsidP="00EA4FBB">
      <w:pPr>
        <w:rPr>
          <w:rFonts w:cs="Arial"/>
        </w:rPr>
      </w:pPr>
      <w:r w:rsidRPr="00350E15">
        <w:rPr>
          <w:rFonts w:cs="Arial"/>
        </w:rPr>
        <w:t xml:space="preserve">Die Mengen des Loses </w:t>
      </w:r>
      <w:r>
        <w:rPr>
          <w:rFonts w:cs="Arial"/>
        </w:rPr>
        <w:t>3</w:t>
      </w:r>
      <w:r w:rsidRPr="00350E15">
        <w:rPr>
          <w:rFonts w:cs="Arial"/>
        </w:rPr>
        <w:t xml:space="preserve"> entsprechen demzufolge </w:t>
      </w:r>
      <w:r>
        <w:rPr>
          <w:rFonts w:cs="Arial"/>
        </w:rPr>
        <w:t>drei (3) Outdoorfitnessgerätpaketen</w:t>
      </w:r>
      <w:r w:rsidRPr="00350E15">
        <w:rPr>
          <w:rFonts w:cs="Arial"/>
        </w:rPr>
        <w:t xml:space="preserve">, welche sich an verschiedenen Standorten befinden. D.h. die Verpackungen (inkl. der Versanddokumente) müssen so vorbereitet werden, dass </w:t>
      </w:r>
      <w:r>
        <w:rPr>
          <w:rFonts w:cs="Arial"/>
        </w:rPr>
        <w:t xml:space="preserve">drei </w:t>
      </w:r>
      <w:r w:rsidRPr="00350E15">
        <w:rPr>
          <w:rFonts w:cs="Arial"/>
        </w:rPr>
        <w:t>unterschiedliche Standorte beliefert werden können.</w:t>
      </w:r>
    </w:p>
    <w:p w14:paraId="2077E158" w14:textId="7193DE07" w:rsidR="00D76866" w:rsidRPr="008F1FB0" w:rsidRDefault="00D76866" w:rsidP="00E31450">
      <w:pPr>
        <w:jc w:val="both"/>
        <w:rPr>
          <w:rStyle w:val="Seitenzahl"/>
          <w:rFonts w:cs="Arial"/>
        </w:rPr>
      </w:pPr>
    </w:p>
    <w:p w14:paraId="44A8E01D" w14:textId="77777777" w:rsidR="00EA4FBB" w:rsidRPr="008F1FB0" w:rsidRDefault="00EA4FBB" w:rsidP="00E31450">
      <w:pPr>
        <w:jc w:val="both"/>
        <w:rPr>
          <w:rStyle w:val="Seitenzahl"/>
          <w:rFonts w:cs="Arial"/>
        </w:rPr>
      </w:pPr>
    </w:p>
    <w:p w14:paraId="1D8BA084" w14:textId="1DAA9500" w:rsidR="00A67608" w:rsidRPr="00EA4FBB"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w:t>
      </w:r>
      <w:r w:rsidRPr="008F1FB0">
        <w:rPr>
          <w:rFonts w:cs="Arial"/>
        </w:rPr>
        <w:lastRenderedPageBreak/>
        <w:t xml:space="preserve">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712963EE" w14:textId="77777777" w:rsidR="00A67608" w:rsidRPr="008F1FB0" w:rsidRDefault="00A67608" w:rsidP="00E31450">
      <w:pPr>
        <w:jc w:val="both"/>
        <w:rPr>
          <w:rFonts w:cs="Arial"/>
        </w:rPr>
      </w:pPr>
    </w:p>
    <w:p w14:paraId="41619A8A" w14:textId="2F7086D7" w:rsidR="00A67608" w:rsidRPr="00EA4FBB"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3603EE85" w14:textId="7AE71A3B" w:rsidR="00D243EC"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243EC" w:rsidRPr="008F1FB0" w:rsidSect="00112883">
      <w:headerReference w:type="default" r:id="rId16"/>
      <w:footerReference w:type="default" r:id="rId17"/>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D2BB" w14:textId="77777777" w:rsidR="00CF710F" w:rsidRDefault="00CF710F" w:rsidP="00A637D0">
      <w:r>
        <w:separator/>
      </w:r>
    </w:p>
  </w:endnote>
  <w:endnote w:type="continuationSeparator" w:id="0">
    <w:p w14:paraId="15518D06" w14:textId="77777777" w:rsidR="00CF710F" w:rsidRDefault="00CF710F" w:rsidP="00A637D0">
      <w:r>
        <w:continuationSeparator/>
      </w:r>
    </w:p>
  </w:endnote>
  <w:endnote w:type="continuationNotice" w:id="1">
    <w:p w14:paraId="1A34F9F6" w14:textId="77777777" w:rsidR="00CF710F" w:rsidRDefault="00CF7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34582" w14:textId="77777777" w:rsidR="00CF710F" w:rsidRDefault="00CF710F" w:rsidP="00A637D0">
      <w:r>
        <w:separator/>
      </w:r>
    </w:p>
  </w:footnote>
  <w:footnote w:type="continuationSeparator" w:id="0">
    <w:p w14:paraId="636F605A" w14:textId="77777777" w:rsidR="00CF710F" w:rsidRDefault="00CF710F" w:rsidP="00A637D0">
      <w:r>
        <w:continuationSeparator/>
      </w:r>
    </w:p>
  </w:footnote>
  <w:footnote w:type="continuationNotice" w:id="1">
    <w:p w14:paraId="4C3E4F9C" w14:textId="77777777" w:rsidR="00CF710F" w:rsidRDefault="00CF710F"/>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2309"/>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126"/>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38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CF710F"/>
    <w:rsid w:val="00D00541"/>
    <w:rsid w:val="00D055B7"/>
    <w:rsid w:val="00D15A81"/>
    <w:rsid w:val="00D2054F"/>
    <w:rsid w:val="00D22078"/>
    <w:rsid w:val="00D225C5"/>
    <w:rsid w:val="00D243EC"/>
    <w:rsid w:val="00D24B4C"/>
    <w:rsid w:val="00D33908"/>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55254"/>
    <w:rsid w:val="00E6253C"/>
    <w:rsid w:val="00E62B79"/>
    <w:rsid w:val="00E63B9C"/>
    <w:rsid w:val="00E64799"/>
    <w:rsid w:val="00E64855"/>
    <w:rsid w:val="00E64BA4"/>
    <w:rsid w:val="00E66417"/>
    <w:rsid w:val="00E6708B"/>
    <w:rsid w:val="00E8666B"/>
    <w:rsid w:val="00E87E8A"/>
    <w:rsid w:val="00E9115F"/>
    <w:rsid w:val="00E96181"/>
    <w:rsid w:val="00EA00F2"/>
    <w:rsid w:val="00EA4FBB"/>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4FBB"/>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 w:type="paragraph" w:customStyle="1" w:styleId="Default">
    <w:name w:val="Default"/>
    <w:rsid w:val="00EA4FBB"/>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processing.DE@giz.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e.ec.europa.eu/eu-and-world/sanctions-restrictive-measures/sanctions-adopted-following-russias-military-aggression-against-ukraine_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s.giz.de/VMS/view/tenderFile/procedureData/tenderDocuments/t01/listP01.jsf?tf=144629&amp;jfwid=-w5ashbe9g&amp;vm=10&amp;_rtid=84" TargetMode="External"/><Relationship Id="rId5" Type="http://schemas.openxmlformats.org/officeDocument/2006/relationships/numbering" Target="numbering.xml"/><Relationship Id="rId15" Type="http://schemas.openxmlformats.org/officeDocument/2006/relationships/hyperlink" Target="https://www.giz.de/de/partner/auftragnehmer/lieferant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voice@giz.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3.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4.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1508</Words>
  <Characters>9502</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10989</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Dittrich, Philipp GIZ</cp:lastModifiedBy>
  <cp:revision>50</cp:revision>
  <dcterms:created xsi:type="dcterms:W3CDTF">2026-07-13T04:17:00Z</dcterms:created>
  <dcterms:modified xsi:type="dcterms:W3CDTF">2026-08-05T11:49:00Z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